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ED5C" w14:textId="77777777" w:rsidR="00340ADB" w:rsidRDefault="00340ADB" w:rsidP="00340ADB">
      <w:pPr>
        <w:rPr>
          <w:rFonts w:ascii="Times New Roman" w:eastAsia="Times New Roman" w:hAnsi="Times New Roman" w:cs="Times New Roman"/>
          <w:b/>
          <w:sz w:val="22"/>
          <w:szCs w:val="22"/>
        </w:rPr>
      </w:pPr>
      <w:r w:rsidRPr="000112A2">
        <w:rPr>
          <w:rFonts w:ascii="Times New Roman" w:eastAsia="Times New Roman" w:hAnsi="Times New Roman" w:cs="Times New Roman"/>
          <w:b/>
          <w:sz w:val="22"/>
          <w:szCs w:val="22"/>
        </w:rPr>
        <w:t>International Prolonged Grief Disorder Scale</w:t>
      </w:r>
      <w:r>
        <w:rPr>
          <w:rFonts w:ascii="Times New Roman" w:eastAsia="Times New Roman" w:hAnsi="Times New Roman" w:cs="Times New Roman"/>
          <w:b/>
          <w:sz w:val="22"/>
          <w:szCs w:val="22"/>
        </w:rPr>
        <w:t xml:space="preserve"> </w:t>
      </w:r>
      <w:r w:rsidRPr="000112A2">
        <w:rPr>
          <w:rFonts w:ascii="Times New Roman" w:eastAsia="Times New Roman" w:hAnsi="Times New Roman" w:cs="Times New Roman"/>
          <w:b/>
          <w:sz w:val="22"/>
          <w:szCs w:val="22"/>
        </w:rPr>
        <w:t>(IPGDS)</w:t>
      </w:r>
    </w:p>
    <w:p w14:paraId="3B5798AC" w14:textId="77777777" w:rsidR="00340ADB" w:rsidRDefault="00340ADB" w:rsidP="00340ADB">
      <w:pP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Killikelly</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Stelzer</w:t>
      </w:r>
      <w:proofErr w:type="spellEnd"/>
      <w:r>
        <w:rPr>
          <w:rFonts w:ascii="Times New Roman" w:eastAsia="Times New Roman" w:hAnsi="Times New Roman" w:cs="Times New Roman"/>
          <w:b/>
          <w:sz w:val="22"/>
          <w:szCs w:val="22"/>
        </w:rPr>
        <w:t>, Zhou and Maercker (2019 in preparation)</w:t>
      </w:r>
    </w:p>
    <w:p w14:paraId="2A88C571" w14:textId="77777777" w:rsidR="00340ADB" w:rsidRDefault="00340ADB" w:rsidP="00340ADB">
      <w:pPr>
        <w:rPr>
          <w:rFonts w:ascii="Times New Roman" w:eastAsia="Times New Roman" w:hAnsi="Times New Roman" w:cs="Times New Roman"/>
          <w:sz w:val="22"/>
          <w:szCs w:val="22"/>
        </w:rPr>
      </w:pPr>
    </w:p>
    <w:p w14:paraId="5C0B5A6A" w14:textId="4BDE2DB3" w:rsidR="00340ADB" w:rsidRPr="00246DD0" w:rsidRDefault="00340ADB" w:rsidP="00340ADB">
      <w:pPr>
        <w:rPr>
          <w:rFonts w:ascii="Times New Roman" w:eastAsia="Times New Roman" w:hAnsi="Times New Roman" w:cs="Times New Roman"/>
          <w:b/>
          <w:sz w:val="22"/>
          <w:szCs w:val="22"/>
        </w:rPr>
      </w:pPr>
      <w:r w:rsidRPr="00012EBC">
        <w:rPr>
          <w:rFonts w:ascii="Times New Roman" w:eastAsia="Times New Roman" w:hAnsi="Times New Roman" w:cs="Times New Roman"/>
          <w:sz w:val="22"/>
          <w:szCs w:val="22"/>
        </w:rPr>
        <w:t>The WHO ICD-</w:t>
      </w:r>
      <w:r w:rsidR="00445801">
        <w:rPr>
          <w:rFonts w:ascii="Times New Roman" w:eastAsia="Times New Roman" w:hAnsi="Times New Roman" w:cs="Times New Roman"/>
          <w:sz w:val="22"/>
          <w:szCs w:val="22"/>
        </w:rPr>
        <w:t>11</w:t>
      </w:r>
      <w:r w:rsidRPr="00012EBC">
        <w:rPr>
          <w:rFonts w:ascii="Times New Roman" w:eastAsia="Times New Roman" w:hAnsi="Times New Roman" w:cs="Times New Roman"/>
          <w:sz w:val="22"/>
          <w:szCs w:val="22"/>
        </w:rPr>
        <w:t xml:space="preserve"> Working Group on Disorders specifically associated with stress develop</w:t>
      </w:r>
      <w:r>
        <w:rPr>
          <w:rFonts w:ascii="Times New Roman" w:eastAsia="Times New Roman" w:hAnsi="Times New Roman" w:cs="Times New Roman"/>
          <w:sz w:val="22"/>
          <w:szCs w:val="22"/>
        </w:rPr>
        <w:t>ed</w:t>
      </w:r>
      <w:r w:rsidRPr="00012EBC">
        <w:rPr>
          <w:rFonts w:ascii="Times New Roman" w:eastAsia="Times New Roman" w:hAnsi="Times New Roman" w:cs="Times New Roman"/>
          <w:sz w:val="22"/>
          <w:szCs w:val="22"/>
        </w:rPr>
        <w:t xml:space="preserve"> clinical guidelines for the prolonged grief disorder</w:t>
      </w:r>
      <w:r>
        <w:rPr>
          <w:rFonts w:ascii="Times New Roman" w:eastAsia="Times New Roman" w:hAnsi="Times New Roman" w:cs="Times New Roman"/>
          <w:sz w:val="22"/>
          <w:szCs w:val="22"/>
        </w:rPr>
        <w:t xml:space="preserve"> (PGD) </w:t>
      </w:r>
      <w:r>
        <w:rPr>
          <w:rFonts w:ascii="Times New Roman" w:eastAsia="Times New Roman" w:hAnsi="Times New Roman" w:cs="Times New Roman"/>
          <w:sz w:val="22"/>
          <w:szCs w:val="22"/>
        </w:rPr>
        <w:fldChar w:fldCharType="begin" w:fldLock="1"/>
      </w:r>
      <w:r>
        <w:rPr>
          <w:rFonts w:ascii="Times New Roman" w:eastAsia="Times New Roman" w:hAnsi="Times New Roman" w:cs="Times New Roman"/>
          <w:sz w:val="22"/>
          <w:szCs w:val="22"/>
        </w:rPr>
        <w:instrText>ADDIN CSL_CITATION {"citationItems":[{"id":"ITEM-1","itemData":{"DOI":"10.1002/wps.20057","ISSN":"17238617","author":[{"dropping-particle":"","family":"Maercker","given":"Andreas","non-dropping-particle":"","parse-names":false,"suffix":""},{"dropping-particle":"","family":"Brewin","given":"Chris R.","non-dropping-particle":"","parse-names":false,"suffix":""},{"dropping-particle":"","family":"Bryant","given":"Richard A.","non-dropping-particle":"","parse-names":false,"suffix":""},{"dropping-particle":"","family":"Cloitre","given":"Marylene","non-dropping-particle":"","parse-names":false,"suffix":""},{"dropping-particle":"","family":"Ommeren","given":"Mark","non-dropping-particle":"van","parse-names":false,"suffix":""},{"dropping-particle":"","family":"Jones","given":"Lynne M.","non-dropping-particle":"","parse-names":false,"suffix":""},{"dropping-particle":"","family":"Humayan","given":"Asma","non-dropping-particle":"","parse-names":false,"suffix":""},{"dropping-particle":"","family":"Kagee","given":"Ashraf","non-dropping-particle":"","parse-names":false,"suffix":""},{"dropping-particle":"","family":"Llosa","given":"Augusto E.","non-dropping-particle":"","parse-names":false,"suffix":""},{"dropping-particle":"","family":"Rousseau","given":"Cécile","non-dropping-particle":"","parse-names":false,"suffix":""},{"dropping-particle":"","family":"Somasundaram","given":"Daya J.","non-dropping-particle":"","parse-names":false,"suffix":""},{"dropping-particle":"","family":"Souza","given":"Renato","non-dropping-particle":"","parse-names":false,"suffix":""},{"dropping-particle":"","family":"Suzuki","given":"Yuriko","non-dropping-particle":"","parse-names":false,"suffix":""},{"dropping-particle":"","family":"Weissbecker","given":"Inka","non-dropping-particle":"","parse-names":false,"suffix":""},{"dropping-particle":"","family":"Wessely","given":"Simon C.","non-dropping-particle":"","parse-names":false,"suffix":""},{"dropping-particle":"","family":"First","given":"Michael B.","non-dropping-particle":"","parse-names":false,"suffix":""},{"dropping-particle":"","family":"Reed","given":"Geoffrey M.","non-dropping-particle":"","parse-names":false,"suffix":""}],"container-title":"World Psychiatry","id":"ITEM-1","issue":"3","issued":{"date-parts":[["2013","10"]]},"page":"198-206","title":"Diagnosis and classification of disorders specifically associated with stress: proposals for ICD-11","type":"article-journal","volume":"12"},"uris":["http://www.mendeley.com/documents/?uuid=3c68ffee-2cbe-3cf7-8d78-ab9da3564513"]}],"mendeley":{"formattedCitation":"(Maercker et al. 2013)","plainTextFormattedCitation":"(Maercker et al. 2013)","previouslyFormattedCitation":"(Maercker et al. 2013)"},"properties":{"noteIndex":0},"schema":"https://github.com/citation-style-language/schema/raw/master/csl-citation.json"}</w:instrText>
      </w:r>
      <w:r>
        <w:rPr>
          <w:rFonts w:ascii="Times New Roman" w:eastAsia="Times New Roman" w:hAnsi="Times New Roman" w:cs="Times New Roman"/>
          <w:sz w:val="22"/>
          <w:szCs w:val="22"/>
        </w:rPr>
        <w:fldChar w:fldCharType="separate"/>
      </w:r>
      <w:r w:rsidRPr="00AC25FC">
        <w:rPr>
          <w:rFonts w:ascii="Times New Roman" w:eastAsia="Times New Roman" w:hAnsi="Times New Roman" w:cs="Times New Roman"/>
          <w:noProof/>
          <w:sz w:val="22"/>
          <w:szCs w:val="22"/>
        </w:rPr>
        <w:t>(Maercker et al. 2013)</w:t>
      </w:r>
      <w:r>
        <w:rPr>
          <w:rFonts w:ascii="Times New Roman" w:eastAsia="Times New Roman" w:hAnsi="Times New Roman" w:cs="Times New Roman"/>
          <w:sz w:val="22"/>
          <w:szCs w:val="22"/>
        </w:rPr>
        <w:fldChar w:fldCharType="end"/>
      </w:r>
      <w:r w:rsidRPr="00012EBC">
        <w:rPr>
          <w:rFonts w:ascii="Times New Roman" w:eastAsia="Times New Roman" w:hAnsi="Times New Roman" w:cs="Times New Roman"/>
          <w:sz w:val="22"/>
          <w:szCs w:val="22"/>
        </w:rPr>
        <w:t xml:space="preserve">. These guidelines are structured following the remit of the new ICD-11 </w:t>
      </w:r>
      <w:r>
        <w:rPr>
          <w:rFonts w:ascii="Times New Roman" w:eastAsia="Times New Roman" w:hAnsi="Times New Roman" w:cs="Times New Roman"/>
          <w:sz w:val="22"/>
          <w:szCs w:val="22"/>
        </w:rPr>
        <w:t>to provide: a</w:t>
      </w:r>
      <w:r w:rsidRPr="00012EBC">
        <w:rPr>
          <w:rFonts w:ascii="Times New Roman" w:eastAsia="Times New Roman" w:hAnsi="Times New Roman" w:cs="Times New Roman"/>
          <w:sz w:val="22"/>
          <w:szCs w:val="22"/>
        </w:rPr>
        <w:t xml:space="preserve"> narrative definition, to include cultural </w:t>
      </w:r>
      <w:r>
        <w:rPr>
          <w:rFonts w:ascii="Times New Roman" w:eastAsia="Times New Roman" w:hAnsi="Times New Roman" w:cs="Times New Roman"/>
          <w:sz w:val="22"/>
          <w:szCs w:val="22"/>
        </w:rPr>
        <w:t>features</w:t>
      </w:r>
      <w:r w:rsidRPr="00012EBC">
        <w:rPr>
          <w:rFonts w:ascii="Times New Roman" w:eastAsia="Times New Roman" w:hAnsi="Times New Roman" w:cs="Times New Roman"/>
          <w:sz w:val="22"/>
          <w:szCs w:val="22"/>
        </w:rPr>
        <w:t xml:space="preserve">, to </w:t>
      </w:r>
      <w:r>
        <w:rPr>
          <w:rFonts w:ascii="Times New Roman" w:eastAsia="Times New Roman" w:hAnsi="Times New Roman" w:cs="Times New Roman"/>
          <w:sz w:val="22"/>
          <w:szCs w:val="22"/>
        </w:rPr>
        <w:t>provide</w:t>
      </w:r>
      <w:r w:rsidRPr="00012EBC">
        <w:rPr>
          <w:rFonts w:ascii="Times New Roman" w:eastAsia="Times New Roman" w:hAnsi="Times New Roman" w:cs="Times New Roman"/>
          <w:sz w:val="22"/>
          <w:szCs w:val="22"/>
        </w:rPr>
        <w:t xml:space="preserve"> core symptoms and</w:t>
      </w:r>
      <w:r>
        <w:rPr>
          <w:rFonts w:ascii="Times New Roman" w:eastAsia="Times New Roman" w:hAnsi="Times New Roman" w:cs="Times New Roman"/>
          <w:sz w:val="22"/>
          <w:szCs w:val="22"/>
        </w:rPr>
        <w:t xml:space="preserve"> be easy to use in the clinical setting </w:t>
      </w:r>
      <w:r>
        <w:rPr>
          <w:rFonts w:ascii="Times New Roman" w:eastAsia="Times New Roman" w:hAnsi="Times New Roman" w:cs="Times New Roman"/>
          <w:sz w:val="22"/>
          <w:szCs w:val="22"/>
        </w:rPr>
        <w:fldChar w:fldCharType="begin" w:fldLock="1"/>
      </w:r>
      <w:r>
        <w:rPr>
          <w:rFonts w:ascii="Times New Roman" w:eastAsia="Times New Roman" w:hAnsi="Times New Roman" w:cs="Times New Roman"/>
          <w:sz w:val="22"/>
          <w:szCs w:val="22"/>
        </w:rPr>
        <w:instrText>ADDIN CSL_CITATION {"citationItems":[{"id":"ITEM-1","itemData":{"DOI":"10.1037/a0021701","ISBN":"1939-1323\\r0735-7028","ISSN":"0735-7028","abstract":"This article describes the current revision by the World Health Organization (WHO) of the International Classification of Diseases and Related Health Problems (ICD-10). ICD-10 is the basis for ICD-10-CM, which will be introduced in 2013 as the official U.S. system. U.S. psychologists will be required to use ICD-10-CM for all third-party billing and reporting, but are generally not familiar with the ICD or WHO's role in global health classification. Although the U.S. lags behind other countries on the implementation of WHO's international classification systems, psychologists and other health professionals will be affected by ICD-11, so it is important to understand its development. WHO views the current revision as an important opportunity to improve the clinical utility of the classification system for mental disorders. Serious problems with the clinical utility of both the ICD and the DSM are widely acknowledged. Clinical utility affects the daily lives of practitioners and is also a global public health issue. Most people with mental disorders worldwide receive no treatment. A diagnostic system with greater clinical utility can be a tool to improve identification and treatment, helping WHO member countries to reduce the disease burden of mental disorders. Consistent with this goal, WHO's revision process is global, multilingual, and multidisciplinary and will produce different versions of the classification for clinical use, research, and primary care. A systematic program of studies being undertaken by WHO aimed at improving clinical utility is described. (PsycINFO Database Record (c) 2010 APA, all rights reserved) (journal abstract)","author":[{"dropping-particle":"","family":"Reed","given":"Geoffrey M.","non-dropping-particle":"","parse-names":false,"suffix":""}],"container-title":"Professional Psychology: Research and Practice","id":"ITEM-1","issue":"6","issued":{"date-parts":[["2010"]]},"page":"457-464","publisher":"American Psychological Association","title":"Toward ICD-11: Improving the clinical utility of WHO's International Classification of mental disorders.","type":"article-journal","volume":"41"},"uris":["http://www.mendeley.com/documents/?uuid=b2f022a4-4d2b-3f53-845d-b79a21b91db5"]}],"mendeley":{"formattedCitation":"(Reed 2010)","plainTextFormattedCitation":"(Reed 2010)","previouslyFormattedCitation":"(Reed 2010)"},"properties":{"noteIndex":0},"schema":"https://github.com/citation-style-language/schema/raw/master/csl-citation.json"}</w:instrText>
      </w:r>
      <w:r>
        <w:rPr>
          <w:rFonts w:ascii="Times New Roman" w:eastAsia="Times New Roman" w:hAnsi="Times New Roman" w:cs="Times New Roman"/>
          <w:sz w:val="22"/>
          <w:szCs w:val="22"/>
        </w:rPr>
        <w:fldChar w:fldCharType="separate"/>
      </w:r>
      <w:r w:rsidRPr="00AC25FC">
        <w:rPr>
          <w:rFonts w:ascii="Times New Roman" w:eastAsia="Times New Roman" w:hAnsi="Times New Roman" w:cs="Times New Roman"/>
          <w:noProof/>
          <w:sz w:val="22"/>
          <w:szCs w:val="22"/>
        </w:rPr>
        <w:t>(Reed 2010)</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w:t>
      </w:r>
    </w:p>
    <w:p w14:paraId="3A987098" w14:textId="77777777" w:rsidR="00340ADB" w:rsidRDefault="00340ADB" w:rsidP="00340ADB">
      <w:pPr>
        <w:pBdr>
          <w:top w:val="nil"/>
          <w:left w:val="nil"/>
          <w:bottom w:val="nil"/>
          <w:right w:val="nil"/>
          <w:between w:val="nil"/>
        </w:pBdr>
        <w:spacing w:line="240" w:lineRule="auto"/>
        <w:rPr>
          <w:rFonts w:ascii="Times New Roman" w:eastAsia="Times New Roman" w:hAnsi="Times New Roman" w:cs="Times New Roman"/>
          <w:sz w:val="22"/>
          <w:szCs w:val="22"/>
        </w:rPr>
      </w:pPr>
    </w:p>
    <w:p w14:paraId="05245A21" w14:textId="77777777" w:rsidR="00340ADB" w:rsidRDefault="00340ADB" w:rsidP="00340AD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IPGDS seeks to operationalize the ICD-11 definition of PGD in a self-report questionnaire format. The ICD-11 PGD definition is structured to have two core symptoms (item 1, item 2) and examples of emotional pain (accessory items 3-12). Item 13 indicates functional impairment and item 14 indicates cultural norms. The core and accessory symptoms are represented questions from previous measures (i.e. the i</w:t>
      </w:r>
      <w:r w:rsidRPr="000112A2">
        <w:rPr>
          <w:rFonts w:ascii="Times New Roman" w:eastAsia="Times New Roman" w:hAnsi="Times New Roman" w:cs="Times New Roman"/>
          <w:sz w:val="22"/>
          <w:szCs w:val="22"/>
        </w:rPr>
        <w:t xml:space="preserve">ntegration of </w:t>
      </w:r>
      <w:r>
        <w:rPr>
          <w:rFonts w:ascii="Times New Roman" w:eastAsia="Times New Roman" w:hAnsi="Times New Roman" w:cs="Times New Roman"/>
          <w:sz w:val="22"/>
          <w:szCs w:val="22"/>
        </w:rPr>
        <w:t>items from the</w:t>
      </w:r>
      <w:r w:rsidRPr="000112A2">
        <w:rPr>
          <w:rFonts w:ascii="Times New Roman" w:eastAsia="Times New Roman" w:hAnsi="Times New Roman" w:cs="Times New Roman"/>
          <w:sz w:val="22"/>
          <w:szCs w:val="22"/>
        </w:rPr>
        <w:t xml:space="preserve"> PG-13 </w:t>
      </w:r>
      <w:r>
        <w:rPr>
          <w:rFonts w:ascii="Times New Roman" w:eastAsia="Times New Roman" w:hAnsi="Times New Roman" w:cs="Times New Roman"/>
          <w:sz w:val="22"/>
          <w:szCs w:val="22"/>
        </w:rPr>
        <w:fldChar w:fldCharType="begin" w:fldLock="1"/>
      </w:r>
      <w:r>
        <w:rPr>
          <w:rFonts w:ascii="Times New Roman" w:eastAsia="Times New Roman" w:hAnsi="Times New Roman" w:cs="Times New Roman"/>
          <w:sz w:val="22"/>
          <w:szCs w:val="22"/>
        </w:rPr>
        <w:instrText>ADDIN CSL_CITATION {"citationItems":[{"id":"ITEM-1","itemData":{"DOI":"10.1037/14498-008","ISBN":"1-4338-0351-8 978-1-4338-0351-2","ISSN":"09528229","abstract":"In this chapter, we summarize the research that demonstrates that prolonged grief disorder (PGD) constitutes a distinct mental disorder worthy of inclusion in the DSM. We begin with a description of the normal course of grief and contrast this with the symptom course in the case of PGD. We then summarize results indicating PGD's distinctive phenomenology; describe the compromise criteria set for PGD; and review evidence of the specific risk factors, outcomes, and response to treatment associated with PGD. In light of the evidence in support of PGD as a separate mental disorder, there is a need for explicit and agreed-on (standardized) criteria so it can be reliably and validly diagnosed. Standardized criteria would enable clinicians to detect, treat, and receive reimbursement for the treatment of PGD and enable researchers to investigate the prevalence, risk factors, outcomes, neurobiology, prevention, and treatment of this disorder. We conclude the chapter with a description of our efforts to standardize a criteria set for PGD proposed for inclusion in DSM-V. (PsycINFO Database Record (c) 2015 APA, all rights reserved)(chapter)","author":[{"dropping-particle":"","family":"Prigerson","given":"HG","non-dropping-particle":"","parse-names":false,"suffix":""},{"dropping-particle":"","family":"Vanderwerker","given":"Lauren C.","non-dropping-particle":"","parse-names":false,"suffix":""},{"dropping-particle":"","family":"Maciejewski","given":"Paul K.","non-dropping-particle":"","parse-names":false,"suffix":""}],"container-title":"Handbook of bereavement research and practice: Advances in theory and intervention.","editor":[{"dropping-particle":"","family":"Stroebe","given":"MS","non-dropping-particle":"","parse-names":false,"suffix":""},{"dropping-particle":"","family":"Hansson","given":"RO","non-dropping-particle":"","parse-names":false,"suffix":""},{"dropping-particle":"","family":"Schut","given":"H","non-dropping-particle":"","parse-names":false,"suffix":""},{"dropping-particle":"","family":"Stroebe","given":"W","non-dropping-particle":"","parse-names":false,"suffix":""}],"id":"ITEM-1","issued":{"date-parts":[["2008"]]},"page":"165-186","publisher":"American Psychological Association","publisher-place":"Washington","title":"A case for inclusion of prolonged grief disorder in DSM-V","type":"chapter"},"uris":["http://www.mendeley.com/documents/?uuid=fbdae353-43d5-37eb-994d-409e4f452e10"]}],"mendeley":{"formattedCitation":"(Prigerson et al. 2008)","plainTextFormattedCitation":"(Prigerson et al. 2008)","previouslyFormattedCitation":"(Prigerson et al. 2008)"},"properties":{"noteIndex":0},"schema":"https://github.com/citation-style-language/schema/raw/master/csl-citation.json"}</w:instrText>
      </w:r>
      <w:r>
        <w:rPr>
          <w:rFonts w:ascii="Times New Roman" w:eastAsia="Times New Roman" w:hAnsi="Times New Roman" w:cs="Times New Roman"/>
          <w:sz w:val="22"/>
          <w:szCs w:val="22"/>
        </w:rPr>
        <w:fldChar w:fldCharType="separate"/>
      </w:r>
      <w:r w:rsidRPr="00E37F2E">
        <w:rPr>
          <w:rFonts w:ascii="Times New Roman" w:eastAsia="Times New Roman" w:hAnsi="Times New Roman" w:cs="Times New Roman"/>
          <w:noProof/>
          <w:sz w:val="22"/>
          <w:szCs w:val="22"/>
        </w:rPr>
        <w:t>(Prigerson et al. 2008)</w:t>
      </w:r>
      <w:r>
        <w:rPr>
          <w:rFonts w:ascii="Times New Roman" w:eastAsia="Times New Roman" w:hAnsi="Times New Roman" w:cs="Times New Roman"/>
          <w:sz w:val="22"/>
          <w:szCs w:val="22"/>
        </w:rPr>
        <w:fldChar w:fldCharType="end"/>
      </w:r>
      <w:r w:rsidRPr="000112A2">
        <w:rPr>
          <w:rFonts w:ascii="Times New Roman" w:eastAsia="Times New Roman" w:hAnsi="Times New Roman" w:cs="Times New Roman"/>
          <w:sz w:val="22"/>
          <w:szCs w:val="22"/>
        </w:rPr>
        <w:t xml:space="preserve"> and the SCI-CG </w:t>
      </w:r>
      <w:r>
        <w:rPr>
          <w:rFonts w:ascii="Times New Roman" w:eastAsia="Times New Roman" w:hAnsi="Times New Roman" w:cs="Times New Roman"/>
          <w:sz w:val="22"/>
          <w:szCs w:val="22"/>
        </w:rPr>
        <w:fldChar w:fldCharType="begin" w:fldLock="1"/>
      </w:r>
      <w:r>
        <w:rPr>
          <w:rFonts w:ascii="Times New Roman" w:eastAsia="Times New Roman" w:hAnsi="Times New Roman" w:cs="Times New Roman"/>
          <w:sz w:val="22"/>
          <w:szCs w:val="22"/>
        </w:rPr>
        <w:instrText>ADDIN CSL_CITATION {"citationItems":[{"id":"ITEM-1","itemData":{"DOI":"10.1002/da.22385","ISBN":"0324141122","ISSN":"1527-5418","PMID":"26061724","abstract":"BackgroundComplicated grief (CG) has been recently included in the DSM-5, under the term persistent complex bereavement disorder, as a condition requiring further study. To our knowledge, no psychometric data on any structured clinical interview for CG (SCI-CG) is available to date. In this manuscript, we introduce the SCI-CG, a 31-item SCID-like clinician-administered instrument to assess the presence of CG symptoms. MethodsParticipants were 281 treatment-seeking adults with CG (77.9% [n = 219] women, mean age = 52.4, standard deviation [SD] = 17.8) who were assessed with the SCI-CG and measures of depression, posttraumatic stress, anxiety, functional impairment. ResultsThe SCI-CG exhibited satisfactory internal consistency ( = .78), good test-retest reliability (interclass correlation [ICC] 0.68, 95% CI [0.60-0.75]), and excellent interrater reliability (ICC = 0.95, 95% CI [0.89-0.98]). Exploratory factor analyses revealed that a five-factor structure, explaining 50.3% of the total variance, was the best fit for the data. ConclusionsThe clinician-rated SCI-CG demonstrates good internal consistency, reliability, and convergent validity in treatment-seeking individuals with CG and therefore can be a useful tool to assess CG. Although diagnostic criteria for CG have yet to be adequately validated, the SCI-CG may facilitate this process. The SCI-CG can now be used as a validated instrument in research and clinical practice. (C) 2015 Wiley Periodicals, Inc.","author":[{"dropping-particle":"","family":"Bui","given":"Eric","non-dropping-particle":"","parse-names":false,"suffix":""},{"dropping-particle":"","family":"Mauro","given":"Christine","non-dropping-particle":"","parse-names":false,"suffix":""},{"dropping-particle":"","family":"Robinaugh","given":"Donald J.","non-dropping-particle":"","parse-names":false,"suffix":""},{"dropping-particle":"","family":"Skritskaya","given":"Natalia A.","non-dropping-particle":"","parse-names":false,"suffix":""},{"dropping-particle":"","family":"Wang","given":"Yuanjia J","non-dropping-particle":"","parse-names":false,"suffix":""},{"dropping-particle":"","family":"Gribbin","given":"Colleen","non-dropping-particle":"","parse-names":false,"suffix":""},{"dropping-particle":"","family":"Ghesquiere","given":"Angela","non-dropping-particle":"","parse-names":false,"suffix":""},{"dropping-particle":"","family":"Horenstein","given":"Arielle","non-dropping-particle":"","parse-names":false,"suffix":""},{"dropping-particle":"","family":"Duan","given":"Naihua H","non-dropping-particle":"","parse-names":false,"suffix":""},{"dropping-particle":"","family":"Reynolds","given":"Charles","non-dropping-particle":"","parse-names":false,"suffix":""},{"dropping-particle":"","family":"Zisook","given":"Sidney","non-dropping-particle":"","parse-names":false,"suffix":""},{"dropping-particle":"","family":"Simon","given":"Naomi M.","non-dropping-particle":"","parse-names":false,"suffix":""},{"dropping-particle":"","family":"Shear","given":"Katherine","non-dropping-particle":"","parse-names":false,"suffix":""}],"container-title":"Depress Anxiety","id":"ITEM-1","issue":"7","issued":{"date-parts":[["2015","7"]]},"page":"485-492","publisher":"NIH Public Access","title":"The Structured Clinical Interview for Complicated Grief: Reliability, Validity, and Exploratory Factor Analysis","type":"article-journal","volume":"32"},"uris":["http://www.mendeley.com/documents/?uuid=09f85e14-016e-46d1-aabe-9c5ef56934d5"]}],"mendeley":{"formattedCitation":"(Bui et al. 2015)","plainTextFormattedCitation":"(Bui et al. 2015)","previouslyFormattedCitation":"(Bui et al. 2015)"},"properties":{"noteIndex":0},"schema":"https://github.com/citation-style-language/schema/raw/master/csl-citation.json"}</w:instrText>
      </w:r>
      <w:r>
        <w:rPr>
          <w:rFonts w:ascii="Times New Roman" w:eastAsia="Times New Roman" w:hAnsi="Times New Roman" w:cs="Times New Roman"/>
          <w:sz w:val="22"/>
          <w:szCs w:val="22"/>
        </w:rPr>
        <w:fldChar w:fldCharType="separate"/>
      </w:r>
      <w:r w:rsidRPr="00E37F2E">
        <w:rPr>
          <w:rFonts w:ascii="Times New Roman" w:eastAsia="Times New Roman" w:hAnsi="Times New Roman" w:cs="Times New Roman"/>
          <w:noProof/>
          <w:sz w:val="22"/>
          <w:szCs w:val="22"/>
        </w:rPr>
        <w:t>(Bui et al. 2015)</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A new question on culture norms of bereavement is also included</w:t>
      </w:r>
      <w:r w:rsidRPr="000112A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5EA24E79" w14:textId="77777777" w:rsidR="00340ADB" w:rsidRPr="00BD1DB1" w:rsidRDefault="00340ADB" w:rsidP="00340ADB">
      <w:pPr>
        <w:rPr>
          <w:rFonts w:ascii="Times New Roman" w:eastAsia="Times New Roman" w:hAnsi="Times New Roman" w:cs="Times New Roman"/>
          <w:i/>
          <w:sz w:val="22"/>
          <w:szCs w:val="22"/>
        </w:rPr>
      </w:pPr>
      <w:r w:rsidRPr="00BD1DB1">
        <w:rPr>
          <w:rFonts w:ascii="Times New Roman" w:eastAsia="Times New Roman" w:hAnsi="Times New Roman" w:cs="Times New Roman"/>
          <w:i/>
          <w:sz w:val="22"/>
          <w:szCs w:val="22"/>
        </w:rPr>
        <w:t xml:space="preserve">The threshold for clinical diagnosis of PGD is currently under investigation. </w:t>
      </w:r>
    </w:p>
    <w:p w14:paraId="13A9516D" w14:textId="77777777" w:rsidR="00340ADB" w:rsidRDefault="00340ADB" w:rsidP="00340ADB">
      <w:pPr>
        <w:rPr>
          <w:rFonts w:ascii="Times New Roman" w:eastAsia="Times New Roman" w:hAnsi="Times New Roman" w:cs="Times New Roman"/>
          <w:sz w:val="22"/>
          <w:szCs w:val="22"/>
        </w:rPr>
      </w:pPr>
    </w:p>
    <w:p w14:paraId="61A5716D" w14:textId="74DFA5A5" w:rsidR="00340ADB" w:rsidRDefault="00340ADB" w:rsidP="00340ADB">
      <w:pPr>
        <w:rPr>
          <w:rFonts w:ascii="Times New Roman" w:eastAsia="Times New Roman" w:hAnsi="Times New Roman" w:cs="Times New Roman"/>
          <w:sz w:val="22"/>
          <w:szCs w:val="22"/>
        </w:rPr>
      </w:pPr>
      <w:bookmarkStart w:id="0" w:name="_GoBack"/>
      <w:r>
        <w:rPr>
          <w:rFonts w:ascii="Times New Roman" w:eastAsia="Times New Roman" w:hAnsi="Times New Roman" w:cs="Times New Roman"/>
          <w:sz w:val="22"/>
          <w:szCs w:val="22"/>
        </w:rPr>
        <w:t xml:space="preserve">As an exploratory step this draft of the scale pilots the introduction of the cultural supplement (page 3). These cultural supplement items provide further examples of emotional pain that may be more acceptable or representative of grief in different cultural groups. Following the best practice of scale development </w:t>
      </w:r>
      <w:r>
        <w:rPr>
          <w:rFonts w:ascii="Times New Roman" w:eastAsia="Times New Roman" w:hAnsi="Times New Roman" w:cs="Times New Roman"/>
          <w:sz w:val="22"/>
          <w:szCs w:val="22"/>
        </w:rPr>
        <w:fldChar w:fldCharType="begin" w:fldLock="1"/>
      </w:r>
      <w:r>
        <w:rPr>
          <w:rFonts w:ascii="Times New Roman" w:eastAsia="Times New Roman" w:hAnsi="Times New Roman" w:cs="Times New Roman"/>
          <w:sz w:val="22"/>
          <w:szCs w:val="22"/>
        </w:rPr>
        <w:instrText>ADDIN CSL_CITATION {"citationItems":[{"id":"ITEM-1","itemData":{"DOI":"10.3389/fpubh.2018.00149","ISSN":"2296-2565","PMID":"29942800","abstract":"Scale development and validation are critical to much of the work in the health, social, and behavioral sciences. However, the constellation of techniques required for scale development and evaluation can be onerous, jargon-filled, unfamiliar, and resource-intensive. Further, it is often not a part of graduate training. Therefore, our goal was to concisely review the process of scale development in as straightforward a manner as possible, both to facilitate the development of new, valid, and reliable scales, and to help improve existing ones. To do this, we have created a primer for best practices for scale development in measuring complex phenomena. This is not a systematic review, but rather the amalgamation of technical literature and lessons learned from our experiences spent creating or adapting a number of scales over the past several decades. We identified three phases that span nine steps. In the first phase, items are generated and the validity of their content is assessed. In the second phase, the scale is constructed. Steps in scale construction include pre-testing the questions, administering the survey, reducing the number of items, and understanding how many factors the scale captures. In the third phase, scale evaluation, the number of dimensions is tested, reliability is tested, and validity is assessed. We have also added examples of best practices to each step. In sum, this primer will equip both scientists and practitioners to understand the ontology and methodology of scale development and validation, thereby facilitating the advancement of our understanding of a range of health, social, and behavioral outcomes.","author":[{"dropping-particle":"","family":"Boateng","given":"Godfred O","non-dropping-particle":"","parse-names":false,"suffix":""},{"dropping-particle":"","family":"Neilands","given":"Torsten B","non-dropping-particle":"","parse-names":false,"suffix":""},{"dropping-particle":"","family":"Frongillo","given":"Edward A","non-dropping-particle":"","parse-names":false,"suffix":""},{"dropping-particle":"","family":"Melgar-Quiñonez","given":"Hugo R","non-dropping-particle":"","parse-names":false,"suffix":""},{"dropping-particle":"","family":"Young","given":"Sera L","non-dropping-particle":"","parse-names":false,"suffix":""}],"container-title":"Frontiers in public health","id":"ITEM-1","issued":{"date-parts":[["2018"]]},"page":"149","publisher":"Frontiers Media SA","title":"Best Practices for Developing and Validating Scales for Health, Social, and Behavioral Research: A Primer.","type":"article-journal","volume":"6"},"uris":["http://www.mendeley.com/documents/?uuid=51152fe3-352f-37cc-bd7a-dc07af99bca8"]}],"mendeley":{"formattedCitation":"(Boateng et al. 2018)","plainTextFormattedCitation":"(Boateng et al. 2018)","previouslyFormattedCitation":"(Boateng et al. 2018)"},"properties":{"noteIndex":0},"schema":"https://github.com/citation-style-language/schema/raw/master/csl-citation.json"}</w:instrText>
      </w:r>
      <w:r>
        <w:rPr>
          <w:rFonts w:ascii="Times New Roman" w:eastAsia="Times New Roman" w:hAnsi="Times New Roman" w:cs="Times New Roman"/>
          <w:sz w:val="22"/>
          <w:szCs w:val="22"/>
        </w:rPr>
        <w:fldChar w:fldCharType="separate"/>
      </w:r>
      <w:r w:rsidRPr="00BD1DB1">
        <w:rPr>
          <w:rFonts w:ascii="Times New Roman" w:eastAsia="Times New Roman" w:hAnsi="Times New Roman" w:cs="Times New Roman"/>
          <w:noProof/>
          <w:sz w:val="22"/>
          <w:szCs w:val="22"/>
        </w:rPr>
        <w:t>(Boateng et al. 2018)</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and guidelines for the development of culturally sensitive measures </w:t>
      </w:r>
      <w:r>
        <w:rPr>
          <w:rFonts w:ascii="Times New Roman" w:eastAsia="Times New Roman" w:hAnsi="Times New Roman" w:cs="Times New Roman"/>
          <w:sz w:val="22"/>
          <w:szCs w:val="22"/>
        </w:rPr>
        <w:fldChar w:fldCharType="begin" w:fldLock="1"/>
      </w:r>
      <w:r w:rsidR="00FD314F">
        <w:rPr>
          <w:rFonts w:ascii="Times New Roman" w:eastAsia="Times New Roman" w:hAnsi="Times New Roman" w:cs="Times New Roman"/>
          <w:sz w:val="22"/>
          <w:szCs w:val="22"/>
        </w:rPr>
        <w:instrText>ADDIN CSL_CITATION {"citationItems":[{"id":"ITEM-1","itemData":{"author":[{"dropping-particle":"","family":"Bolton","given":"Paul","non-dropping-particle":"","parse-names":false,"suffix":""}],"id":"ITEM-1","issued":{"date-parts":[["2008"]]},"title":"DESIGN, IMPLEMENTATION, MONITORING, AND EVALUATION OF CROSS-CULTURAL HIV-RELATED MENTAL HEALTH AND PSYCHOSOCIAL ASSISTANCE PROGRAMS: A USER'S MANUAL FOR RESEARCHERS AND PROGRAM IMPLEMENTERS (ADULT VERSION)","type":"report"},"uris":["http://www.mendeley.com/documents/?uuid=bd5032b1-0a38-3e4d-8af4-093abad14664"]}],"mendeley":{"formattedCitation":"(Bolton 2008)","plainTextFormattedCitation":"(Bolton 2008)","previouslyFormattedCitation":"(Bolton 2008)"},"properties":{"noteIndex":0},"schema":"https://github.com/citation-style-language/schema/raw/master/csl-citation.json"}</w:instrText>
      </w:r>
      <w:r>
        <w:rPr>
          <w:rFonts w:ascii="Times New Roman" w:eastAsia="Times New Roman" w:hAnsi="Times New Roman" w:cs="Times New Roman"/>
          <w:sz w:val="22"/>
          <w:szCs w:val="22"/>
        </w:rPr>
        <w:fldChar w:fldCharType="separate"/>
      </w:r>
      <w:r w:rsidRPr="00BD1DB1">
        <w:rPr>
          <w:rFonts w:ascii="Times New Roman" w:eastAsia="Times New Roman" w:hAnsi="Times New Roman" w:cs="Times New Roman"/>
          <w:noProof/>
          <w:sz w:val="22"/>
          <w:szCs w:val="22"/>
        </w:rPr>
        <w:t>(Bolton 2008)</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these items are based on key informant interviews with grief and bereavement professionals from Switzerland and China. Additional supplementary items are currently in development.  </w:t>
      </w:r>
    </w:p>
    <w:p w14:paraId="22FD5098" w14:textId="2022909F" w:rsidR="00340ADB" w:rsidRDefault="00340ADB" w:rsidP="00340ADB">
      <w:pPr>
        <w:rPr>
          <w:rFonts w:ascii="Times New Roman" w:eastAsia="Times New Roman" w:hAnsi="Times New Roman" w:cs="Times New Roman"/>
          <w:i/>
          <w:sz w:val="22"/>
          <w:szCs w:val="22"/>
        </w:rPr>
      </w:pPr>
      <w:r w:rsidRPr="00BD1DB1">
        <w:rPr>
          <w:rFonts w:ascii="Times New Roman" w:eastAsia="Times New Roman" w:hAnsi="Times New Roman" w:cs="Times New Roman"/>
          <w:i/>
          <w:sz w:val="22"/>
          <w:szCs w:val="22"/>
        </w:rPr>
        <w:t xml:space="preserve">Guidelines on how to score the cultural supplement items and how to integrate the cultural items into the standard scale are pending. </w:t>
      </w:r>
    </w:p>
    <w:bookmarkEnd w:id="0"/>
    <w:p w14:paraId="6912EEC3" w14:textId="165EA83A" w:rsidR="00D6516B" w:rsidRDefault="00D6516B" w:rsidP="00340ADB">
      <w:pPr>
        <w:rPr>
          <w:rFonts w:ascii="Times New Roman" w:eastAsia="Times New Roman" w:hAnsi="Times New Roman" w:cs="Times New Roman"/>
          <w:i/>
          <w:sz w:val="22"/>
          <w:szCs w:val="22"/>
        </w:rPr>
      </w:pPr>
    </w:p>
    <w:p w14:paraId="48687670" w14:textId="2FD364FB" w:rsidR="00D6516B" w:rsidRDefault="00D6516B" w:rsidP="00340AD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Here are draft guidelines:</w:t>
      </w:r>
    </w:p>
    <w:p w14:paraId="5BD5AD80" w14:textId="2F6DE9CF" w:rsidR="00D6516B" w:rsidRDefault="00D6516B" w:rsidP="00340ADB">
      <w:pPr>
        <w:rPr>
          <w:rFonts w:ascii="Times New Roman" w:eastAsia="Times New Roman" w:hAnsi="Times New Roman" w:cs="Times New Roman"/>
          <w:i/>
          <w:sz w:val="22"/>
          <w:szCs w:val="22"/>
        </w:rPr>
      </w:pPr>
    </w:p>
    <w:p w14:paraId="327572D4" w14:textId="77777777" w:rsidR="00D6516B" w:rsidRPr="000112A2" w:rsidRDefault="00D6516B" w:rsidP="00D6516B">
      <w:pPr>
        <w:jc w:val="center"/>
        <w:rPr>
          <w:rFonts w:ascii="Times New Roman" w:eastAsia="Times New Roman" w:hAnsi="Times New Roman" w:cs="Times New Roman"/>
          <w:b/>
          <w:sz w:val="22"/>
          <w:szCs w:val="22"/>
        </w:rPr>
      </w:pPr>
      <w:r w:rsidRPr="000112A2">
        <w:rPr>
          <w:rFonts w:ascii="Times New Roman" w:eastAsia="Times New Roman" w:hAnsi="Times New Roman" w:cs="Times New Roman"/>
          <w:b/>
          <w:sz w:val="22"/>
          <w:szCs w:val="22"/>
        </w:rPr>
        <w:t>Scoring key</w:t>
      </w:r>
      <w:r>
        <w:rPr>
          <w:rFonts w:ascii="Times New Roman" w:eastAsia="Times New Roman" w:hAnsi="Times New Roman" w:cs="Times New Roman"/>
          <w:b/>
          <w:sz w:val="22"/>
          <w:szCs w:val="22"/>
        </w:rPr>
        <w:t xml:space="preserve"> (in development)</w:t>
      </w:r>
    </w:p>
    <w:p w14:paraId="5EC30136" w14:textId="77777777" w:rsidR="00D6516B" w:rsidRPr="000112A2" w:rsidRDefault="00D6516B" w:rsidP="00D6516B">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STANDARD SCALE</w:t>
      </w:r>
    </w:p>
    <w:p w14:paraId="7A12586B"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rPr>
        <w:t>Below you will find instructions on how to score items in order to:</w:t>
      </w:r>
    </w:p>
    <w:p w14:paraId="2CD6FEFA"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color w:val="000000"/>
          <w:sz w:val="22"/>
          <w:szCs w:val="22"/>
        </w:rPr>
        <w:t xml:space="preserve">1.  obtain a global score for </w:t>
      </w:r>
      <w:r w:rsidRPr="000112A2">
        <w:rPr>
          <w:rFonts w:ascii="Times New Roman" w:eastAsia="Times New Roman" w:hAnsi="Times New Roman" w:cs="Times New Roman"/>
          <w:b/>
          <w:color w:val="000000"/>
          <w:sz w:val="22"/>
          <w:szCs w:val="22"/>
        </w:rPr>
        <w:t>grief severity:</w:t>
      </w:r>
      <w:r w:rsidRPr="000112A2">
        <w:rPr>
          <w:rFonts w:ascii="Times New Roman" w:eastAsia="Times New Roman" w:hAnsi="Times New Roman" w:cs="Times New Roman"/>
          <w:sz w:val="22"/>
          <w:szCs w:val="22"/>
        </w:rPr>
        <w:t xml:space="preserve"> Create a summed score over items 1 - 13. The higher the value, the more severe the grief.</w:t>
      </w:r>
    </w:p>
    <w:p w14:paraId="4F008B45" w14:textId="77777777" w:rsidR="00D6516B" w:rsidRPr="000112A2" w:rsidRDefault="00D6516B" w:rsidP="00D6516B">
      <w:pPr>
        <w:rPr>
          <w:rFonts w:ascii="Times New Roman" w:eastAsia="Times New Roman" w:hAnsi="Times New Roman" w:cs="Times New Roman"/>
          <w:color w:val="000000"/>
          <w:sz w:val="22"/>
          <w:szCs w:val="22"/>
        </w:rPr>
      </w:pPr>
      <w:r w:rsidRPr="000112A2">
        <w:rPr>
          <w:rFonts w:ascii="Times New Roman" w:eastAsia="Times New Roman" w:hAnsi="Times New Roman" w:cs="Times New Roman"/>
          <w:color w:val="000000"/>
          <w:sz w:val="22"/>
          <w:szCs w:val="22"/>
        </w:rPr>
        <w:t xml:space="preserve">2. distinguish individuals with </w:t>
      </w:r>
      <w:r w:rsidRPr="000112A2">
        <w:rPr>
          <w:rFonts w:ascii="Times New Roman" w:eastAsia="Times New Roman" w:hAnsi="Times New Roman" w:cs="Times New Roman"/>
          <w:b/>
          <w:color w:val="000000"/>
          <w:sz w:val="22"/>
          <w:szCs w:val="22"/>
        </w:rPr>
        <w:t>Prolonged Grief Disorder (PGD)</w:t>
      </w:r>
      <w:r w:rsidRPr="000112A2">
        <w:rPr>
          <w:rFonts w:ascii="Times New Roman" w:eastAsia="Times New Roman" w:hAnsi="Times New Roman" w:cs="Times New Roman"/>
          <w:color w:val="000000"/>
          <w:sz w:val="22"/>
          <w:szCs w:val="22"/>
        </w:rPr>
        <w:t xml:space="preserve"> from those without:</w:t>
      </w:r>
    </w:p>
    <w:p w14:paraId="62EBB6B9"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u w:val="single"/>
        </w:rPr>
        <w:t>Core symptoms:</w:t>
      </w:r>
      <w:r w:rsidRPr="000112A2">
        <w:rPr>
          <w:rFonts w:ascii="Times New Roman" w:eastAsia="Times New Roman" w:hAnsi="Times New Roman" w:cs="Times New Roman"/>
          <w:sz w:val="22"/>
          <w:szCs w:val="22"/>
        </w:rPr>
        <w:t xml:space="preserve"> </w:t>
      </w:r>
      <w:r w:rsidRPr="000112A2">
        <w:rPr>
          <w:rFonts w:ascii="Times New Roman" w:eastAsia="Times New Roman" w:hAnsi="Times New Roman" w:cs="Times New Roman"/>
          <w:sz w:val="22"/>
          <w:szCs w:val="22"/>
        </w:rPr>
        <w:br/>
        <w:t>At least one of items 1 or 2 must be endorsed with often (4) or always (5).</w:t>
      </w:r>
    </w:p>
    <w:p w14:paraId="07CDBD30"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u w:val="single"/>
        </w:rPr>
        <w:lastRenderedPageBreak/>
        <w:t>Accessory symptoms</w:t>
      </w:r>
      <w:r w:rsidRPr="000112A2">
        <w:rPr>
          <w:rFonts w:ascii="Times New Roman" w:eastAsia="Times New Roman" w:hAnsi="Times New Roman" w:cs="Times New Roman"/>
          <w:sz w:val="22"/>
          <w:szCs w:val="22"/>
        </w:rPr>
        <w:t xml:space="preserve">: </w:t>
      </w:r>
      <w:r w:rsidRPr="000112A2">
        <w:rPr>
          <w:rFonts w:ascii="Times New Roman" w:eastAsia="Times New Roman" w:hAnsi="Times New Roman" w:cs="Times New Roman"/>
          <w:sz w:val="22"/>
          <w:szCs w:val="22"/>
        </w:rPr>
        <w:br/>
        <w:t xml:space="preserve">Provisory Regulation: At least </w:t>
      </w:r>
      <w:r>
        <w:rPr>
          <w:rFonts w:ascii="Times New Roman" w:eastAsia="Times New Roman" w:hAnsi="Times New Roman" w:cs="Times New Roman"/>
          <w:sz w:val="22"/>
          <w:szCs w:val="22"/>
        </w:rPr>
        <w:t>one of</w:t>
      </w:r>
      <w:r w:rsidRPr="000112A2">
        <w:rPr>
          <w:rFonts w:ascii="Times New Roman" w:eastAsia="Times New Roman" w:hAnsi="Times New Roman" w:cs="Times New Roman"/>
          <w:sz w:val="22"/>
          <w:szCs w:val="22"/>
        </w:rPr>
        <w:t xml:space="preserve"> items 3-12 must be endorsed with often (4) or always (5).</w:t>
      </w:r>
    </w:p>
    <w:p w14:paraId="7ADF9614" w14:textId="77777777" w:rsidR="00D6516B" w:rsidRPr="000112A2" w:rsidRDefault="00D6516B" w:rsidP="00D6516B">
      <w:pPr>
        <w:rPr>
          <w:rFonts w:ascii="Times New Roman" w:eastAsia="Times New Roman" w:hAnsi="Times New Roman" w:cs="Times New Roman"/>
          <w:sz w:val="22"/>
          <w:szCs w:val="22"/>
          <w:u w:val="single"/>
        </w:rPr>
      </w:pPr>
      <w:r w:rsidRPr="000112A2">
        <w:rPr>
          <w:rFonts w:ascii="Times New Roman" w:eastAsia="Times New Roman" w:hAnsi="Times New Roman" w:cs="Times New Roman"/>
          <w:sz w:val="22"/>
          <w:szCs w:val="22"/>
          <w:u w:val="single"/>
        </w:rPr>
        <w:t>Functional impairment criterion:</w:t>
      </w:r>
    </w:p>
    <w:p w14:paraId="6E8D6D95" w14:textId="77777777" w:rsidR="00D6516B" w:rsidRPr="000112A2" w:rsidRDefault="00D6516B" w:rsidP="00D6516B">
      <w:pPr>
        <w:rPr>
          <w:rFonts w:ascii="Times New Roman" w:eastAsia="Times New Roman" w:hAnsi="Times New Roman" w:cs="Times New Roman"/>
          <w:sz w:val="22"/>
          <w:szCs w:val="22"/>
          <w:u w:val="single"/>
        </w:rPr>
      </w:pPr>
      <w:r w:rsidRPr="000112A2">
        <w:rPr>
          <w:rFonts w:ascii="Times New Roman" w:eastAsia="Times New Roman" w:hAnsi="Times New Roman" w:cs="Times New Roman"/>
          <w:sz w:val="22"/>
          <w:szCs w:val="22"/>
        </w:rPr>
        <w:t>Item 13 must be endorsed with often (4) or always (5).</w:t>
      </w:r>
    </w:p>
    <w:p w14:paraId="42B1D1C2" w14:textId="77777777" w:rsidR="00D6516B" w:rsidRPr="000112A2" w:rsidRDefault="00D6516B" w:rsidP="00D6516B">
      <w:pPr>
        <w:rPr>
          <w:rFonts w:ascii="Times New Roman" w:eastAsia="Times New Roman" w:hAnsi="Times New Roman" w:cs="Times New Roman"/>
          <w:sz w:val="22"/>
          <w:szCs w:val="22"/>
          <w:u w:val="single"/>
        </w:rPr>
      </w:pPr>
      <w:r w:rsidRPr="000112A2">
        <w:rPr>
          <w:rFonts w:ascii="Times New Roman" w:eastAsia="Times New Roman" w:hAnsi="Times New Roman" w:cs="Times New Roman"/>
          <w:sz w:val="22"/>
          <w:szCs w:val="22"/>
          <w:u w:val="single"/>
        </w:rPr>
        <w:t>Culture criterion:</w:t>
      </w:r>
    </w:p>
    <w:p w14:paraId="3AC8D738" w14:textId="77777777" w:rsidR="00D6516B" w:rsidRDefault="00D6516B" w:rsidP="00D6516B">
      <w:pPr>
        <w:rPr>
          <w:rFonts w:ascii="Times New Roman" w:eastAsia="Times New Roman" w:hAnsi="Times New Roman" w:cs="Times New Roman"/>
          <w:b/>
          <w:sz w:val="22"/>
          <w:szCs w:val="22"/>
        </w:rPr>
      </w:pPr>
      <w:r w:rsidRPr="000112A2">
        <w:rPr>
          <w:rFonts w:ascii="Times New Roman" w:eastAsia="Times New Roman" w:hAnsi="Times New Roman" w:cs="Times New Roman"/>
          <w:sz w:val="22"/>
          <w:szCs w:val="22"/>
        </w:rPr>
        <w:t>Item 14 must be endorsed with often (4) or always (5)</w:t>
      </w:r>
      <w:r w:rsidRPr="000112A2">
        <w:rPr>
          <w:rFonts w:ascii="Times New Roman" w:eastAsia="Times New Roman" w:hAnsi="Times New Roman" w:cs="Times New Roman"/>
          <w:b/>
          <w:sz w:val="22"/>
          <w:szCs w:val="22"/>
        </w:rPr>
        <w:t>.</w:t>
      </w:r>
    </w:p>
    <w:p w14:paraId="45F54DB8" w14:textId="77777777" w:rsidR="00D6516B" w:rsidRPr="000112A2" w:rsidRDefault="00D6516B" w:rsidP="00D6516B">
      <w:pPr>
        <w:rPr>
          <w:rFonts w:ascii="Times New Roman" w:eastAsia="Times New Roman" w:hAnsi="Times New Roman" w:cs="Times New Roman"/>
          <w:sz w:val="22"/>
          <w:szCs w:val="22"/>
          <w:u w:val="single"/>
        </w:rPr>
      </w:pPr>
    </w:p>
    <w:p w14:paraId="6EB36588" w14:textId="77777777" w:rsidR="00D6516B" w:rsidRPr="000112A2" w:rsidRDefault="00D6516B" w:rsidP="00D6516B">
      <w:pPr>
        <w:pBdr>
          <w:top w:val="nil"/>
          <w:left w:val="nil"/>
          <w:bottom w:val="nil"/>
          <w:right w:val="nil"/>
          <w:between w:val="nil"/>
        </w:pBdr>
        <w:ind w:left="360"/>
        <w:contextualSpacing/>
        <w:rPr>
          <w:rFonts w:ascii="Times New Roman" w:eastAsia="Times New Roman" w:hAnsi="Times New Roman" w:cs="Times New Roman"/>
          <w:sz w:val="22"/>
          <w:szCs w:val="22"/>
        </w:rPr>
      </w:pPr>
    </w:p>
    <w:p w14:paraId="734AFC80"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rPr>
        <w:t>Criteria Description:</w:t>
      </w:r>
    </w:p>
    <w:p w14:paraId="1EC5C27F"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rPr>
        <w:t>Items 1-2:</w:t>
      </w:r>
      <w:r w:rsidRPr="000112A2">
        <w:rPr>
          <w:rFonts w:ascii="Times New Roman" w:eastAsia="Times New Roman" w:hAnsi="Times New Roman" w:cs="Times New Roman"/>
          <w:sz w:val="22"/>
          <w:szCs w:val="22"/>
        </w:rPr>
        <w:tab/>
        <w:t xml:space="preserve">Core symptoms </w:t>
      </w:r>
    </w:p>
    <w:p w14:paraId="23C34FB1"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rPr>
        <w:t>Items 3-12:</w:t>
      </w:r>
      <w:r w:rsidRPr="000112A2">
        <w:rPr>
          <w:rFonts w:ascii="Times New Roman" w:eastAsia="Times New Roman" w:hAnsi="Times New Roman" w:cs="Times New Roman"/>
          <w:sz w:val="22"/>
          <w:szCs w:val="22"/>
        </w:rPr>
        <w:tab/>
        <w:t>Accessory symptoms</w:t>
      </w:r>
    </w:p>
    <w:p w14:paraId="16D4ECB4"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rPr>
        <w:t>Item 13:</w:t>
      </w:r>
      <w:r w:rsidRPr="000112A2">
        <w:rPr>
          <w:rFonts w:ascii="Times New Roman" w:eastAsia="Times New Roman" w:hAnsi="Times New Roman" w:cs="Times New Roman"/>
          <w:sz w:val="22"/>
          <w:szCs w:val="22"/>
        </w:rPr>
        <w:tab/>
        <w:t>Functional impairment criterion</w:t>
      </w:r>
    </w:p>
    <w:p w14:paraId="01898019"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rPr>
        <w:t>Item 14:</w:t>
      </w:r>
      <w:r w:rsidRPr="000112A2">
        <w:rPr>
          <w:rFonts w:ascii="Times New Roman" w:eastAsia="Times New Roman" w:hAnsi="Times New Roman" w:cs="Times New Roman"/>
          <w:sz w:val="22"/>
          <w:szCs w:val="22"/>
        </w:rPr>
        <w:tab/>
        <w:t>Culture criterion</w:t>
      </w:r>
    </w:p>
    <w:p w14:paraId="1303F63B" w14:textId="77777777" w:rsidR="00D6516B" w:rsidRPr="000112A2" w:rsidRDefault="00D6516B" w:rsidP="00D6516B">
      <w:pPr>
        <w:rPr>
          <w:rFonts w:ascii="Times New Roman" w:eastAsia="Times New Roman" w:hAnsi="Times New Roman" w:cs="Times New Roman"/>
          <w:sz w:val="22"/>
          <w:szCs w:val="22"/>
        </w:rPr>
      </w:pPr>
      <w:r w:rsidRPr="000112A2">
        <w:rPr>
          <w:rFonts w:ascii="Times New Roman" w:eastAsia="Times New Roman" w:hAnsi="Times New Roman" w:cs="Times New Roman"/>
          <w:sz w:val="22"/>
          <w:szCs w:val="22"/>
        </w:rPr>
        <w:t>Item 15:</w:t>
      </w:r>
      <w:r w:rsidRPr="000112A2">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Time </w:t>
      </w:r>
      <w:r w:rsidRPr="000112A2">
        <w:rPr>
          <w:rFonts w:ascii="Times New Roman" w:eastAsia="Times New Roman" w:hAnsi="Times New Roman" w:cs="Times New Roman"/>
          <w:sz w:val="22"/>
          <w:szCs w:val="22"/>
        </w:rPr>
        <w:t>criterion</w:t>
      </w:r>
    </w:p>
    <w:p w14:paraId="26AF69AA" w14:textId="77777777" w:rsidR="00D6516B" w:rsidRPr="00BD1DB1" w:rsidRDefault="00D6516B" w:rsidP="00340ADB">
      <w:pPr>
        <w:rPr>
          <w:rFonts w:ascii="Times New Roman" w:eastAsia="Times New Roman" w:hAnsi="Times New Roman" w:cs="Times New Roman"/>
          <w:i/>
          <w:sz w:val="22"/>
          <w:szCs w:val="22"/>
        </w:rPr>
      </w:pPr>
    </w:p>
    <w:p w14:paraId="20852030" w14:textId="77777777" w:rsidR="00FD314F" w:rsidRDefault="00FD314F" w:rsidP="00FD314F">
      <w:pPr>
        <w:widowControl w:val="0"/>
        <w:autoSpaceDE w:val="0"/>
        <w:autoSpaceDN w:val="0"/>
        <w:adjustRightInd w:val="0"/>
        <w:ind w:left="480" w:hanging="480"/>
      </w:pPr>
    </w:p>
    <w:p w14:paraId="164B17FA" w14:textId="77777777" w:rsidR="00FD314F" w:rsidRDefault="00FD314F" w:rsidP="00FD314F">
      <w:pPr>
        <w:widowControl w:val="0"/>
        <w:autoSpaceDE w:val="0"/>
        <w:autoSpaceDN w:val="0"/>
        <w:adjustRightInd w:val="0"/>
        <w:ind w:left="480" w:hanging="480"/>
      </w:pPr>
    </w:p>
    <w:p w14:paraId="08D98225" w14:textId="77777777" w:rsidR="00FD314F" w:rsidRDefault="00FD314F" w:rsidP="00FD314F">
      <w:pPr>
        <w:widowControl w:val="0"/>
        <w:autoSpaceDE w:val="0"/>
        <w:autoSpaceDN w:val="0"/>
        <w:adjustRightInd w:val="0"/>
        <w:ind w:left="480" w:hanging="480"/>
      </w:pPr>
    </w:p>
    <w:p w14:paraId="2EF03C93" w14:textId="77777777" w:rsidR="00FD314F" w:rsidRDefault="00FD314F" w:rsidP="00FD314F">
      <w:pPr>
        <w:widowControl w:val="0"/>
        <w:autoSpaceDE w:val="0"/>
        <w:autoSpaceDN w:val="0"/>
        <w:adjustRightInd w:val="0"/>
        <w:ind w:left="480" w:hanging="480"/>
      </w:pPr>
    </w:p>
    <w:p w14:paraId="1D52895F" w14:textId="77777777" w:rsidR="00FD314F" w:rsidRDefault="00FD314F" w:rsidP="00FD314F">
      <w:pPr>
        <w:widowControl w:val="0"/>
        <w:autoSpaceDE w:val="0"/>
        <w:autoSpaceDN w:val="0"/>
        <w:adjustRightInd w:val="0"/>
        <w:ind w:left="480" w:hanging="480"/>
      </w:pPr>
    </w:p>
    <w:p w14:paraId="23B22E2E" w14:textId="77777777" w:rsidR="00FD314F" w:rsidRDefault="00FD314F" w:rsidP="00FD314F">
      <w:pPr>
        <w:widowControl w:val="0"/>
        <w:autoSpaceDE w:val="0"/>
        <w:autoSpaceDN w:val="0"/>
        <w:adjustRightInd w:val="0"/>
        <w:ind w:left="480" w:hanging="480"/>
      </w:pPr>
    </w:p>
    <w:p w14:paraId="44193100" w14:textId="77777777" w:rsidR="00FD314F" w:rsidRDefault="00FD314F" w:rsidP="00FD314F">
      <w:pPr>
        <w:widowControl w:val="0"/>
        <w:autoSpaceDE w:val="0"/>
        <w:autoSpaceDN w:val="0"/>
        <w:adjustRightInd w:val="0"/>
        <w:ind w:left="480" w:hanging="480"/>
      </w:pPr>
    </w:p>
    <w:p w14:paraId="78E821EB" w14:textId="77777777" w:rsidR="00FD314F" w:rsidRDefault="00FD314F" w:rsidP="00FD314F">
      <w:pPr>
        <w:widowControl w:val="0"/>
        <w:autoSpaceDE w:val="0"/>
        <w:autoSpaceDN w:val="0"/>
        <w:adjustRightInd w:val="0"/>
        <w:ind w:left="480" w:hanging="480"/>
      </w:pPr>
    </w:p>
    <w:p w14:paraId="107B6838" w14:textId="77777777" w:rsidR="00FD314F" w:rsidRDefault="00FD314F" w:rsidP="00FD314F">
      <w:pPr>
        <w:widowControl w:val="0"/>
        <w:autoSpaceDE w:val="0"/>
        <w:autoSpaceDN w:val="0"/>
        <w:adjustRightInd w:val="0"/>
        <w:ind w:left="480" w:hanging="480"/>
      </w:pPr>
    </w:p>
    <w:p w14:paraId="3AB52CE4" w14:textId="77777777" w:rsidR="00FD314F" w:rsidRDefault="00FD314F" w:rsidP="00FD314F">
      <w:pPr>
        <w:widowControl w:val="0"/>
        <w:autoSpaceDE w:val="0"/>
        <w:autoSpaceDN w:val="0"/>
        <w:adjustRightInd w:val="0"/>
        <w:ind w:left="480" w:hanging="480"/>
      </w:pPr>
    </w:p>
    <w:p w14:paraId="1FCE5CFD" w14:textId="77777777" w:rsidR="00FD314F" w:rsidRDefault="00FD314F" w:rsidP="00FD314F">
      <w:pPr>
        <w:widowControl w:val="0"/>
        <w:autoSpaceDE w:val="0"/>
        <w:autoSpaceDN w:val="0"/>
        <w:adjustRightInd w:val="0"/>
        <w:ind w:left="480" w:hanging="480"/>
      </w:pPr>
    </w:p>
    <w:p w14:paraId="7BBB3336" w14:textId="77777777" w:rsidR="00FD314F" w:rsidRDefault="00FD314F" w:rsidP="00FD314F">
      <w:pPr>
        <w:widowControl w:val="0"/>
        <w:autoSpaceDE w:val="0"/>
        <w:autoSpaceDN w:val="0"/>
        <w:adjustRightInd w:val="0"/>
        <w:ind w:left="480" w:hanging="480"/>
      </w:pPr>
    </w:p>
    <w:p w14:paraId="7C90DCA2" w14:textId="77777777" w:rsidR="00FD314F" w:rsidRDefault="00FD314F" w:rsidP="00FD314F">
      <w:pPr>
        <w:widowControl w:val="0"/>
        <w:autoSpaceDE w:val="0"/>
        <w:autoSpaceDN w:val="0"/>
        <w:adjustRightInd w:val="0"/>
        <w:ind w:left="480" w:hanging="480"/>
      </w:pPr>
    </w:p>
    <w:p w14:paraId="649FCE01" w14:textId="77777777" w:rsidR="00FD314F" w:rsidRDefault="00FD314F" w:rsidP="00FD314F">
      <w:pPr>
        <w:widowControl w:val="0"/>
        <w:autoSpaceDE w:val="0"/>
        <w:autoSpaceDN w:val="0"/>
        <w:adjustRightInd w:val="0"/>
        <w:ind w:left="480" w:hanging="480"/>
      </w:pPr>
    </w:p>
    <w:p w14:paraId="106140C2" w14:textId="77777777" w:rsidR="00FD314F" w:rsidRDefault="00FD314F" w:rsidP="00FD314F">
      <w:pPr>
        <w:widowControl w:val="0"/>
        <w:autoSpaceDE w:val="0"/>
        <w:autoSpaceDN w:val="0"/>
        <w:adjustRightInd w:val="0"/>
        <w:ind w:left="480" w:hanging="480"/>
      </w:pPr>
    </w:p>
    <w:p w14:paraId="150C1541" w14:textId="77777777" w:rsidR="00FD314F" w:rsidRDefault="00FD314F" w:rsidP="00FD314F">
      <w:pPr>
        <w:widowControl w:val="0"/>
        <w:autoSpaceDE w:val="0"/>
        <w:autoSpaceDN w:val="0"/>
        <w:adjustRightInd w:val="0"/>
        <w:ind w:left="480" w:hanging="480"/>
      </w:pPr>
    </w:p>
    <w:p w14:paraId="67702631" w14:textId="77777777" w:rsidR="00FD314F" w:rsidRDefault="00FD314F" w:rsidP="00FD314F">
      <w:pPr>
        <w:widowControl w:val="0"/>
        <w:autoSpaceDE w:val="0"/>
        <w:autoSpaceDN w:val="0"/>
        <w:adjustRightInd w:val="0"/>
        <w:ind w:left="480" w:hanging="480"/>
      </w:pPr>
    </w:p>
    <w:p w14:paraId="530D0C80" w14:textId="77777777" w:rsidR="00FD314F" w:rsidRDefault="00FD314F" w:rsidP="00FD314F">
      <w:pPr>
        <w:widowControl w:val="0"/>
        <w:autoSpaceDE w:val="0"/>
        <w:autoSpaceDN w:val="0"/>
        <w:adjustRightInd w:val="0"/>
        <w:ind w:left="480" w:hanging="480"/>
      </w:pPr>
    </w:p>
    <w:p w14:paraId="0418177C" w14:textId="77777777" w:rsidR="00FD314F" w:rsidRDefault="00FD314F" w:rsidP="00FD314F">
      <w:pPr>
        <w:widowControl w:val="0"/>
        <w:autoSpaceDE w:val="0"/>
        <w:autoSpaceDN w:val="0"/>
        <w:adjustRightInd w:val="0"/>
        <w:ind w:left="480" w:hanging="480"/>
      </w:pPr>
    </w:p>
    <w:p w14:paraId="445ACE9C" w14:textId="77777777" w:rsidR="00FD314F" w:rsidRDefault="00FD314F" w:rsidP="00FD314F">
      <w:pPr>
        <w:widowControl w:val="0"/>
        <w:autoSpaceDE w:val="0"/>
        <w:autoSpaceDN w:val="0"/>
        <w:adjustRightInd w:val="0"/>
        <w:ind w:left="480" w:hanging="480"/>
      </w:pPr>
    </w:p>
    <w:p w14:paraId="3DCBD455" w14:textId="77777777" w:rsidR="00FD314F" w:rsidRDefault="00FD314F" w:rsidP="00FD314F">
      <w:pPr>
        <w:widowControl w:val="0"/>
        <w:autoSpaceDE w:val="0"/>
        <w:autoSpaceDN w:val="0"/>
        <w:adjustRightInd w:val="0"/>
        <w:ind w:left="480" w:hanging="480"/>
      </w:pPr>
    </w:p>
    <w:p w14:paraId="611B0682" w14:textId="6AB5069E" w:rsidR="00FD314F" w:rsidRPr="00FD314F" w:rsidRDefault="00FD314F" w:rsidP="00FD314F">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FD314F">
        <w:rPr>
          <w:rFonts w:cs="Times New Roman"/>
          <w:noProof/>
        </w:rPr>
        <w:t>Boateng, Godfred O, Torsten B Neilands, Edward A Frongillo, Hugo R Melgar-Quiñonez, and Sera L Young 2018 Best Practices for Developing and Validating Scales for Health, Social, and Behavioral Research: A Primer. Frontiers in public health 6: 149. Retrieved. September 25, 2019. from http://www.ncbi.nlm.nih.gov/pubmed/29942800.</w:t>
      </w:r>
    </w:p>
    <w:p w14:paraId="64D59233" w14:textId="77777777" w:rsidR="00FD314F" w:rsidRPr="00FD314F" w:rsidRDefault="00FD314F" w:rsidP="00FD314F">
      <w:pPr>
        <w:widowControl w:val="0"/>
        <w:autoSpaceDE w:val="0"/>
        <w:autoSpaceDN w:val="0"/>
        <w:adjustRightInd w:val="0"/>
        <w:ind w:left="480" w:hanging="480"/>
        <w:rPr>
          <w:rFonts w:cs="Times New Roman"/>
          <w:noProof/>
        </w:rPr>
      </w:pPr>
      <w:r w:rsidRPr="00FD314F">
        <w:rPr>
          <w:rFonts w:cs="Times New Roman"/>
          <w:noProof/>
        </w:rPr>
        <w:t>Bolton, Paul 2008 DESIGN, IMPLEMENTATION, MONITORING, AND EVALUATION OF CROSS-CULTURAL HIV-RELATED MENTAL HEALTH AND PSYCHOSOCIAL ASSISTANCE PROGRAMS: A USER’S MANUAL FOR RESEARCHERS AND PROGRAM IMPLEMENTERS (ADULT VERSION). Retrieved. August 27, 2018. from https://www.jhsph.edu/research/centers-and-institutes/research-to-prevention/dime-manual/DIME-MODULE-1.pdf.</w:t>
      </w:r>
    </w:p>
    <w:p w14:paraId="70569AB9" w14:textId="77777777" w:rsidR="00FD314F" w:rsidRPr="00FD314F" w:rsidRDefault="00FD314F" w:rsidP="00FD314F">
      <w:pPr>
        <w:widowControl w:val="0"/>
        <w:autoSpaceDE w:val="0"/>
        <w:autoSpaceDN w:val="0"/>
        <w:adjustRightInd w:val="0"/>
        <w:ind w:left="480" w:hanging="480"/>
        <w:rPr>
          <w:rFonts w:cs="Times New Roman"/>
          <w:noProof/>
        </w:rPr>
      </w:pPr>
      <w:r w:rsidRPr="00FD314F">
        <w:rPr>
          <w:rFonts w:cs="Times New Roman"/>
          <w:noProof/>
        </w:rPr>
        <w:t>Bui, Eric, Christine Mauro, Donald J. Robinaugh, Natalia A. Skritskaya, Yuanjia J Wang, Colleen Gribbin, Angela Ghesquiere, et al. 2015 The Structured Clinical Interview for Complicated Grief: Reliability, Validity, and Exploratory Factor Analysis. Depress Anxiety 32(7): 485–492. Retrieved. April 5, 2017. from http://doi.wiley.com/10.1002/da.22385.</w:t>
      </w:r>
    </w:p>
    <w:p w14:paraId="457A9023" w14:textId="77777777" w:rsidR="00FD314F" w:rsidRPr="00FD314F" w:rsidRDefault="00FD314F" w:rsidP="00FD314F">
      <w:pPr>
        <w:widowControl w:val="0"/>
        <w:autoSpaceDE w:val="0"/>
        <w:autoSpaceDN w:val="0"/>
        <w:adjustRightInd w:val="0"/>
        <w:ind w:left="480" w:hanging="480"/>
        <w:rPr>
          <w:rFonts w:cs="Times New Roman"/>
          <w:noProof/>
        </w:rPr>
      </w:pPr>
      <w:r w:rsidRPr="00FD314F">
        <w:rPr>
          <w:rFonts w:cs="Times New Roman"/>
          <w:noProof/>
        </w:rPr>
        <w:t>Maercker, Andreas, Chris R. Brewin, Richard A. Bryant, Marylene Cloitre, Mark van Ommeren, Lynne M. Jones, Asma Humayan, et al. 2013 Diagnosis and classification of disorders specifically associated with stress: proposals for ICD-11. World Psychiatry 12(3): 198–206. Retrieved. January 11, 2017. from http://doi.wiley.com/10.1002/wps.20057.</w:t>
      </w:r>
    </w:p>
    <w:p w14:paraId="09F85BF8" w14:textId="77777777" w:rsidR="00FD314F" w:rsidRPr="00FD314F" w:rsidRDefault="00FD314F" w:rsidP="00FD314F">
      <w:pPr>
        <w:widowControl w:val="0"/>
        <w:autoSpaceDE w:val="0"/>
        <w:autoSpaceDN w:val="0"/>
        <w:adjustRightInd w:val="0"/>
        <w:ind w:left="480" w:hanging="480"/>
        <w:rPr>
          <w:rFonts w:cs="Times New Roman"/>
          <w:noProof/>
        </w:rPr>
      </w:pPr>
      <w:r w:rsidRPr="00FD314F">
        <w:rPr>
          <w:rFonts w:cs="Times New Roman"/>
          <w:noProof/>
        </w:rPr>
        <w:t xml:space="preserve">Prigerson, HG, Lauren C. Vanderwerker, and Paul K. Maciejewski 2008 A case for inclusion of prolonged grief disorder in DSM-V. </w:t>
      </w:r>
      <w:r w:rsidRPr="00FD314F">
        <w:rPr>
          <w:rFonts w:cs="Times New Roman"/>
          <w:i/>
          <w:iCs/>
          <w:noProof/>
        </w:rPr>
        <w:t>In</w:t>
      </w:r>
      <w:r w:rsidRPr="00FD314F">
        <w:rPr>
          <w:rFonts w:cs="Times New Roman"/>
          <w:noProof/>
        </w:rPr>
        <w:t xml:space="preserve"> Handbook of bereavement research and practice: Advances in theory and intervention. MS Stroebe, RO Hansson, H Schut, and W Stroebe, eds., pp. 165–186. Washington: American Psychological Association. Retrieved. May 29, 2018. from http://content.apa.org/books/14498-008.</w:t>
      </w:r>
    </w:p>
    <w:p w14:paraId="17ECF6FD" w14:textId="77777777" w:rsidR="00FD314F" w:rsidRPr="00FD314F" w:rsidRDefault="00FD314F" w:rsidP="00FD314F">
      <w:pPr>
        <w:widowControl w:val="0"/>
        <w:autoSpaceDE w:val="0"/>
        <w:autoSpaceDN w:val="0"/>
        <w:adjustRightInd w:val="0"/>
        <w:ind w:left="480" w:hanging="480"/>
        <w:rPr>
          <w:noProof/>
        </w:rPr>
      </w:pPr>
      <w:r w:rsidRPr="00FD314F">
        <w:rPr>
          <w:rFonts w:cs="Times New Roman"/>
          <w:noProof/>
        </w:rPr>
        <w:t>Reed, Geoffrey M. 2010 Toward ICD-11: Improving the clinical utility of WHO’s International Classification of mental disorders. Professional Psychology: Research and Practice 41(6): 457–464. Retrieved. April 10, 2017. from http://doi.apa.org/getdoi.cfm?doi=10.1037/a0021701.</w:t>
      </w:r>
    </w:p>
    <w:p w14:paraId="11EE2473" w14:textId="42E2AF7D" w:rsidR="00B2395A" w:rsidRDefault="00FD314F">
      <w:r>
        <w:fldChar w:fldCharType="end"/>
      </w:r>
    </w:p>
    <w:sectPr w:rsidR="00B2395A" w:rsidSect="00B03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DB"/>
    <w:rsid w:val="001B3D03"/>
    <w:rsid w:val="0031041C"/>
    <w:rsid w:val="00340ADB"/>
    <w:rsid w:val="003452CB"/>
    <w:rsid w:val="00445801"/>
    <w:rsid w:val="0058418A"/>
    <w:rsid w:val="005C4E93"/>
    <w:rsid w:val="006E0451"/>
    <w:rsid w:val="007A377F"/>
    <w:rsid w:val="00A30A23"/>
    <w:rsid w:val="00B03821"/>
    <w:rsid w:val="00CA7325"/>
    <w:rsid w:val="00D6516B"/>
    <w:rsid w:val="00FD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0289"/>
  <w14:defaultImageDpi w14:val="32767"/>
  <w15:chartTrackingRefBased/>
  <w15:docId w15:val="{AA19FAE3-0244-6542-9F34-FAC59F8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40ADB"/>
    <w:pPr>
      <w:spacing w:line="360" w:lineRule="auto"/>
    </w:pPr>
    <w:rPr>
      <w:rFonts w:ascii="Times" w:eastAsia="SimSun" w:hAnsi="Times" w:cs="Time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C3C5-51E4-4518-9762-0D8879E8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 Hyland</cp:lastModifiedBy>
  <cp:revision>2</cp:revision>
  <dcterms:created xsi:type="dcterms:W3CDTF">2019-09-26T13:37:00Z</dcterms:created>
  <dcterms:modified xsi:type="dcterms:W3CDTF">2019-09-26T13:37:00Z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cae3d9bc-201c-3da5-a440-4950a2e39314</vt:lpwstr>
  </property>
  <property fmtid="{D5CDD505-2E9C-101B-9397-08002B2CF9AE}" pid="4" name="Mendeley Citation Style_1">
    <vt:lpwstr>http://www.zotero.org/styles/culture-medicine-and-psychiatry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http://www.zotero.org/styles/culture-medicine-and-psychiatry</vt:lpwstr>
  </property>
  <property fmtid="{D5CDD505-2E9C-101B-9397-08002B2CF9AE}" pid="16" name="Mendeley Recent Style Name 5_1">
    <vt:lpwstr>Culture, Medicine, and Psychiatry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http://www.zotero.org/styles/journal-of-affective-disorders</vt:lpwstr>
  </property>
  <property fmtid="{D5CDD505-2E9C-101B-9397-08002B2CF9AE}" pid="20" name="Mendeley Recent Style Name 7_1">
    <vt:lpwstr>Journal of Affective Disorders</vt:lpwstr>
  </property>
  <property fmtid="{D5CDD505-2E9C-101B-9397-08002B2CF9AE}" pid="21" name="Mendeley Recent Style Id 8_1">
    <vt:lpwstr>http://www.zotero.org/styles/journal-of-medical-internet-research</vt:lpwstr>
  </property>
  <property fmtid="{D5CDD505-2E9C-101B-9397-08002B2CF9AE}" pid="22" name="Mendeley Recent Style Name 8_1">
    <vt:lpwstr>Journal of Medical Internet Research</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